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E5F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E5F60">
              <w:rPr>
                <w:rFonts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EE5F60">
        <w:rPr>
          <w:rFonts w:ascii="Arial" w:hAnsi="Arial" w:cs="Arial"/>
          <w:b/>
          <w:color w:val="212529"/>
          <w:shd w:val="clear" w:color="auto" w:fill="FFFFFF"/>
        </w:rPr>
        <w:t>Как в Иркутской области создавался Единый реестр недвижимости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25 декабря 2003 года Росреестру исполняется 15 лет.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За эти годы кардинально изменилось законодательство в сфере оформления прав на недвижимое имущество, а также серьезно оптимизированы процессы оказания государственных услуг Росреестра. При этом одним из наиболее изменившихся направлений работы стала сфера создания и доработки программного обеспечения.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Так, 15 лет назад существовали отдельные программные продукты Единый государственный реестр прав (ЕГРП) и Государственный кадастр недвижимости (ГКН), которые были разработаны независимо друг от друга и использовались отдельно.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При этом в России существовало более 1000 отдельных баз данных ЕГРП и ГКН. Даже в пределах Иркутской области функционировало 33 отдельных базы данных ЕГРП и 2 базы данных ГКН.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 xml:space="preserve">Затем в связи с принятием в 2015 году закона о государственной регистрации недвижимости, территориальные базы данных ЕГРП и ГКН объединены во ФГИС ЕГРН (федеральная государственная информационная система Единый государственный реестр недвижимости). 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Нужно отметить, что ФГИС ЕГРН на сегодня интегрирован с порталом «Госуслуг» (ЕПГУ), что позволяет оказывать услуги Росреестра в электронном виде.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Также важным изменением является то, что ФГИС ЕГРН в полной мере обеспечивает реализацию принципа экстерриториальности. Это значит, что заявитель может подать заявление в отношении любого объекта недвижимости, даже находящегося на территории другого субъекта РФ, для чего ему не придется ехать в другой регион или давать кому-то доверенность, как это было ранее.</w:t>
      </w:r>
    </w:p>
    <w:p w:rsidR="00C5130A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О порядке получения услуг Росреестра в электронном виде вы можете узнать по бесплатному справочному телефону горячей линии: 8(3952) 450-150.</w:t>
      </w:r>
    </w:p>
    <w:p w:rsidR="00EE5F60" w:rsidRPr="00D80C81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E5F60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D95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2023-10-03T01:08:00Z</cp:lastPrinted>
  <dcterms:created xsi:type="dcterms:W3CDTF">2023-11-28T06:24:00Z</dcterms:created>
  <dcterms:modified xsi:type="dcterms:W3CDTF">2023-11-28T06:24:00Z</dcterms:modified>
</cp:coreProperties>
</file>